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4.png" ContentType="image/png"/>
  <Override PartName="/word/media/rId31.png" ContentType="image/png"/>
  <Override PartName="/word/media/rId27.png" ContentType="image/png"/>
  <Override PartName="/word/media/rId21.png" ContentType="image/png"/>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통계</w:t>
      </w:r>
      <w:r>
        <w:t xml:space="preserve"> </w:t>
      </w:r>
      <w:r>
        <w:t xml:space="preserve">세분화와</w:t>
      </w:r>
      <w:r>
        <w:t xml:space="preserve"> </w:t>
      </w:r>
      <w:r>
        <w:t xml:space="preserve">신뢰도</w:t>
      </w:r>
    </w:p>
    <w:p>
      <w:pPr>
        <w:pStyle w:val="Author"/>
      </w:pPr>
      <w:r>
        <w:t xml:space="preserve">Seokhoon</w:t>
      </w:r>
      <w:r>
        <w:t xml:space="preserve"> </w:t>
      </w:r>
      <w:r>
        <w:t xml:space="preserve">Joo</w:t>
      </w:r>
    </w:p>
    <w:bookmarkStart w:id="20" w:name="서론"/>
    <w:p>
      <w:pPr>
        <w:pStyle w:val="Heading3"/>
      </w:pPr>
      <w:r>
        <w:t xml:space="preserve">1. 서론</w:t>
      </w:r>
    </w:p>
    <w:p>
      <w:pPr>
        <w:pStyle w:val="FirstParagraph"/>
      </w:pPr>
      <w:r>
        <w:t xml:space="preserve">각 보험사들은 연령별, 상품군별, 상품별, 채널별, 담보별, 질병별 통계를 통해 조금 더 세분화된 결과를 얻고 이를 전략 및 마케팅에 반영하고 싶어한다. 최근 들어서는</w:t>
      </w:r>
      <w:r>
        <w:t xml:space="preserve"> </w:t>
      </w:r>
      <w:r>
        <w:t xml:space="preserve">“</w:t>
      </w:r>
      <w:r>
        <w:t xml:space="preserve">초개인화</w:t>
      </w:r>
      <w:r>
        <w:t xml:space="preserve">”</w:t>
      </w:r>
      <w:r>
        <w:t xml:space="preserve">라고 해서 극도로 세분화된 개념이 등장하고 때로는 그것이 절대적인 미덕처럼 여겨지기도 한다. 하지만 이러한 세분화에 대한</w:t>
      </w:r>
      <w:r>
        <w:t xml:space="preserve"> </w:t>
      </w:r>
      <w:r>
        <w:t xml:space="preserve">“</w:t>
      </w:r>
      <w:r>
        <w:t xml:space="preserve">과도한 신뢰</w:t>
      </w:r>
      <w:r>
        <w:t xml:space="preserve">”</w:t>
      </w:r>
      <w:r>
        <w:t xml:space="preserve"> </w:t>
      </w:r>
      <w:r>
        <w:t xml:space="preserve">또는</w:t>
      </w:r>
      <w:r>
        <w:t xml:space="preserve"> </w:t>
      </w:r>
      <w:r>
        <w:t xml:space="preserve">“</w:t>
      </w:r>
      <w:r>
        <w:t xml:space="preserve">잘못된 기대</w:t>
      </w:r>
      <w:r>
        <w:t xml:space="preserve">”</w:t>
      </w:r>
      <w:r>
        <w:t xml:space="preserve">로 인해 과적합(Overfitting)을 초래하고, 필연적으로 편향(Bias)과 오차(Error)를 발생시킨다.</w:t>
      </w:r>
    </w:p>
    <w:p>
      <w:pPr>
        <w:pStyle w:val="BodyText"/>
      </w:pPr>
      <w:r>
        <w:t xml:space="preserve">우리가 분석하는 대상은 자사에 쌓인 우리 고유의 데이터지만 이를 그대로 사용하는 것은 다른 차원의 문제다. 이는 이른바 데이터 과학을 이용한 기술적인 과정이 필요하다는 의미가 아니라 지금 우리가 보유하고 있는 데이터가 우리가 알고자 하는 실제 세계에 가까운 지를 확인해야 한다는 의미이다.</w:t>
      </w:r>
    </w:p>
    <w:p>
      <w:pPr>
        <w:pStyle w:val="BodyText"/>
      </w:pPr>
      <w:r>
        <w:t xml:space="preserve">예를 들어, 우리 회사에 쌓인 데이터는 과거 언더라이팅 기준을 통과한 사람의 데이터이다. 만약 우리가 특정 질병들을 거절해 왔고 앞으로 그 기준을</w:t>
      </w:r>
      <w:r>
        <w:t xml:space="preserve"> </w:t>
      </w:r>
      <w:r>
        <w:t xml:space="preserve">“</w:t>
      </w:r>
      <w:r>
        <w:t xml:space="preserve">인수</w:t>
      </w:r>
      <w:r>
        <w:t xml:space="preserve">”</w:t>
      </w:r>
      <w:r>
        <w:t xml:space="preserve">로 변경하고자 한다면, 변경에 따른 손해율을 과거의 데이터로 예측하는 것은 반드시 문제가 된다.</w:t>
      </w:r>
    </w:p>
    <w:p>
      <w:pPr>
        <w:pStyle w:val="BodyText"/>
      </w:pPr>
      <w:r>
        <w:t xml:space="preserve">즉, 우리가 다루고자 하는 과제가 무엇이고 이 과제를 다루는데 지금의 Raw 데이터가 이를 어느 정도 정확하게 표현을 하고 있는지 알아야 한다.</w:t>
      </w:r>
    </w:p>
    <w:p>
      <w:pPr>
        <w:pStyle w:val="BodyText"/>
      </w:pPr>
      <w:r>
        <w:t xml:space="preserve">사실 너무 뻔하고 간단한 이야기인데 생각보다 많은 사람들이 크게 언급하지 않고, 설명과 계산이 귀찮다보니</w:t>
      </w:r>
      <w:r>
        <w:t xml:space="preserve"> </w:t>
      </w:r>
      <w:r>
        <w:t xml:space="preserve">“</w:t>
      </w:r>
      <w:r>
        <w:t xml:space="preserve">이런 이런 AI기술이 있어서 우리는 다 분석할 수 있고 다 잘 됩니다.</w:t>
      </w:r>
      <w:r>
        <w:t xml:space="preserve">”</w:t>
      </w:r>
      <w:r>
        <w:t xml:space="preserve">라고 말하는 사람들에 비해 너무 많은 시간과 비용이 들어간다. 실제 프로젝트 상에서는 더 깊고 많은 이야기가 논의되지만, 이번에는 수년간 프로젝트를 진행하면서 느낀 두 가지 내용에 대해서 중점적으로 적어보고자 한다.</w:t>
      </w:r>
    </w:p>
    <w:p>
      <w:pPr>
        <w:pStyle w:val="Compact"/>
        <w:numPr>
          <w:ilvl w:val="0"/>
          <w:numId w:val="1001"/>
        </w:numPr>
      </w:pPr>
      <w:r>
        <w:t xml:space="preserve">세분화된 손해율 리포팅 과정에 유지계약 건수가 반영되지 않는다.</w:t>
      </w:r>
    </w:p>
    <w:p>
      <w:pPr>
        <w:pStyle w:val="Compact"/>
        <w:numPr>
          <w:ilvl w:val="0"/>
          <w:numId w:val="1001"/>
        </w:numPr>
      </w:pPr>
      <w:r>
        <w:t xml:space="preserve">특정 GA 손해율이 업계 전체 GA 손해율을 모방하지 않는다.</w:t>
      </w:r>
    </w:p>
    <w:p>
      <w:r>
        <w:pict>
          <v:rect style="width:0;height:1.5pt" o:hralign="center" o:hrstd="t" o:hr="t"/>
        </w:pict>
      </w:r>
    </w:p>
    <w:bookmarkEnd w:id="20"/>
    <w:bookmarkStart w:id="30" w:name="손해율-리포팅-과정에-샘플수와-신뢰구간을-반영하자."/>
    <w:p>
      <w:pPr>
        <w:pStyle w:val="Heading3"/>
      </w:pPr>
      <w:r>
        <w:t xml:space="preserve">2. 손해율 리포팅 과정에 샘플수와 신뢰구간을 반영하자.</w:t>
      </w:r>
    </w:p>
    <w:p>
      <w:pPr>
        <w:pStyle w:val="FirstParagraph"/>
      </w:pPr>
      <w:r>
        <w:t xml:space="preserve">우리가 알고자 하는 세계를 Sample Space라고 한다면 우리가 판매한 계약은 다음과 같이 하나의 바스켓으로 표현할 수 있다.</w:t>
      </w:r>
    </w:p>
    <w:p>
      <w:pPr>
        <w:pStyle w:val="BodyText"/>
      </w:pPr>
      <w:r>
        <w:drawing>
          <wp:inline>
            <wp:extent cx="5334000" cy="3556000"/>
            <wp:effectExtent b="0" l="0" r="0" t="0"/>
            <wp:docPr descr="" title="" id="22" name="Picture"/>
            <a:graphic>
              <a:graphicData uri="http://schemas.openxmlformats.org/drawingml/2006/picture">
                <pic:pic>
                  <pic:nvPicPr>
                    <pic:cNvPr descr="images/sample-size/sample-space.png" id="23" name="Picture"/>
                    <pic:cNvPicPr>
                      <a:picLocks noChangeArrowheads="1" noChangeAspect="1"/>
                    </pic:cNvPicPr>
                  </pic:nvPicPr>
                  <pic:blipFill>
                    <a:blip r:embed="rId21"/>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즉, 전체 모수(≈ 업계 전체 대상 고객)에서 빨간공을 고를 확률은 1/14이지만(≈ 7.14% 업계 전체 손해율), 내가 고른 3개의 공(≈ 자사 고객)안에 빨간공이 있을 수도 있고 없을 수도 있다, 빨간공을 가지고 있었다면 나는 확률을 1/3 (33.3%)로 점추정(≈ 자사고객의 손해율)하였을 것이고, 없었다면 0/3 (0%)이라고 생각했을 것이다.</w:t>
      </w:r>
    </w:p>
    <w:p>
      <w:pPr>
        <w:pStyle w:val="BodyText"/>
      </w:pPr>
      <w:r>
        <w:t xml:space="preserve">만약, 특정 데이터의 특정 질병의 발생률이 5% 정도로 알려져 있다고 하자. 우리가 이 발생률을 담보하기 위해 95% 신뢰구간하에 ±5% 즉, 4.75% ~ 5.25% 사이에서에서 추정하기 위해서 필요한 샘플수(≈ 인원수 ≈ 판매건수)는 7,299명이다. 하지만 95% 신뢰구간하에 ±20% 즉, 4.00% ~ 6.00%사이에서 추정한다면 우리가 필요한 샘플수는 1,825명에 지나지않는다. (Wilson 방식 활용)</w:t>
      </w:r>
    </w:p>
    <w:p>
      <w:pPr>
        <w:pStyle w:val="BodyText"/>
      </w:pPr>
      <w:r>
        <w:drawing>
          <wp:inline>
            <wp:extent cx="5334000" cy="2849058"/>
            <wp:effectExtent b="0" l="0" r="0" t="0"/>
            <wp:docPr descr="" title="" id="25" name="Picture"/>
            <a:graphic>
              <a:graphicData uri="http://schemas.openxmlformats.org/drawingml/2006/picture">
                <pic:pic>
                  <pic:nvPicPr>
                    <pic:cNvPr descr="images/sample-size/sampling-distribution.png" id="26" name="Picture"/>
                    <pic:cNvPicPr>
                      <a:picLocks noChangeArrowheads="1" noChangeAspect="1"/>
                    </pic:cNvPicPr>
                  </pic:nvPicPr>
                  <pic:blipFill>
                    <a:blip r:embed="rId24"/>
                    <a:stretch>
                      <a:fillRect/>
                    </a:stretch>
                  </pic:blipFill>
                  <pic:spPr bwMode="auto">
                    <a:xfrm>
                      <a:off x="0" y="0"/>
                      <a:ext cx="5334000" cy="2849058"/>
                    </a:xfrm>
                    <a:prstGeom prst="rect">
                      <a:avLst/>
                    </a:prstGeom>
                    <a:noFill/>
                    <a:ln w="9525">
                      <a:noFill/>
                      <a:headEnd/>
                      <a:tailEnd/>
                    </a:ln>
                  </pic:spPr>
                </pic:pic>
              </a:graphicData>
            </a:graphic>
          </wp:inline>
        </w:drawing>
      </w:r>
    </w:p>
    <w:p>
      <w:pPr>
        <w:pStyle w:val="BodyText"/>
      </w:pPr>
      <w:r>
        <w:t xml:space="preserve">더 정확한 통계를 위해 더 작은 범위(±R%)를 함수에 설정하고자 한다면, 기하급수적으로 많은 샘플수를 가져가야 한다. 이론적으로 5% 발생률의 경우 ±2%규모에서 추정하려면 약 20만 정도가 필요하지만, 이것을 ±1%로 줄일 경우 필요한 샘플수는 75만으로 늘어난다</w:t>
      </w:r>
    </w:p>
    <w:p>
      <w:pPr>
        <w:pStyle w:val="BodyText"/>
      </w:pPr>
      <w:r>
        <w:drawing>
          <wp:inline>
            <wp:extent cx="5334000" cy="2849058"/>
            <wp:effectExtent b="0" l="0" r="0" t="0"/>
            <wp:docPr descr="" title="" id="28" name="Picture"/>
            <a:graphic>
              <a:graphicData uri="http://schemas.openxmlformats.org/drawingml/2006/picture">
                <pic:pic>
                  <pic:nvPicPr>
                    <pic:cNvPr descr="images/sample-size/required-sample-size.png" id="29" name="Picture"/>
                    <pic:cNvPicPr>
                      <a:picLocks noChangeArrowheads="1" noChangeAspect="1"/>
                    </pic:cNvPicPr>
                  </pic:nvPicPr>
                  <pic:blipFill>
                    <a:blip r:embed="rId27"/>
                    <a:stretch>
                      <a:fillRect/>
                    </a:stretch>
                  </pic:blipFill>
                  <pic:spPr bwMode="auto">
                    <a:xfrm>
                      <a:off x="0" y="0"/>
                      <a:ext cx="5334000" cy="2849058"/>
                    </a:xfrm>
                    <a:prstGeom prst="rect">
                      <a:avLst/>
                    </a:prstGeom>
                    <a:noFill/>
                    <a:ln w="9525">
                      <a:noFill/>
                      <a:headEnd/>
                      <a:tailEnd/>
                    </a:ln>
                  </pic:spPr>
                </pic:pic>
              </a:graphicData>
            </a:graphic>
          </wp:inline>
        </w:drawing>
      </w:r>
    </w:p>
    <w:p>
      <w:pPr>
        <w:pStyle w:val="BodyText"/>
      </w:pPr>
      <w:r>
        <w:t xml:space="preserve">만약 암이나 희귀질병이라고 생각해보자, 발생률 0.1%로 알려진 질병을 95% 신뢰구간하에 ±5%에서 추정하기 위해서 필요한 인원은 154만 정도이다. 처음 우리가 생각한 세분화 통계에 대해 잘 생각해보자. 누군가 우리의 데이터를 정확히 보지 않고도 AI든 Machine Learning이든 정확하게 구할 수 있다고 한다면, 믿을 수 있겠는가?</w:t>
      </w:r>
    </w:p>
    <w:p>
      <w:pPr>
        <w:pStyle w:val="BodyText"/>
      </w:pPr>
      <w:r>
        <w:t xml:space="preserve">사실 이 과정은 계리, 상품개발 과정에서 감독원 기준에 녹아져 있는 경우가 있다. 하지만, 일상적으로 이 과정을 이해하고 반영하는 것을 통해 우리가 믿을 수 있는 과학적인 근거와 범위에 대해 우리 나름의 정확한 판단기준을 가질 수 있읕 것이다. 예를 들어 A/E (위험손해율)에</w:t>
      </w:r>
      <w:r>
        <w:t xml:space="preserve"> </w:t>
      </w:r>
      <w:r>
        <w:t xml:space="preserve">“</w:t>
      </w:r>
      <w:r>
        <w:t xml:space="preserve">판매건수</w:t>
      </w:r>
      <w:r>
        <w:t xml:space="preserve">”</w:t>
      </w:r>
      <w:r>
        <w:t xml:space="preserve">,</w:t>
      </w:r>
      <w:r>
        <w:t xml:space="preserve"> </w:t>
      </w:r>
      <w:r>
        <w:t xml:space="preserve">“</w:t>
      </w:r>
      <w:r>
        <w:t xml:space="preserve">신뢰구간</w:t>
      </w:r>
      <w:r>
        <w:t xml:space="preserve">”</w:t>
      </w:r>
      <w:r>
        <w:t xml:space="preserve">,</w:t>
      </w:r>
      <w:r>
        <w:t xml:space="preserve"> </w:t>
      </w:r>
      <w:r>
        <w:t xml:space="preserve">“</w:t>
      </w:r>
      <w:r>
        <w:t xml:space="preserve">신뢰구간을 반영한 위험 손해율</w:t>
      </w:r>
      <w:r>
        <w:t xml:space="preserve">”</w:t>
      </w:r>
      <w:r>
        <w:t xml:space="preserve"> </w:t>
      </w:r>
      <w:r>
        <w:t xml:space="preserve">등을 같이 리포팅하는 것은 매우 중요한 의사결정 판단 근거가 될 것이다.</w:t>
      </w:r>
    </w:p>
    <w:p>
      <w:r>
        <w:pict>
          <v:rect style="width:0;height:1.5pt" o:hralign="center" o:hrstd="t" o:hr="t"/>
        </w:pict>
      </w:r>
    </w:p>
    <w:bookmarkEnd w:id="30"/>
    <w:bookmarkStart w:id="39" w:name="ga-손해율은-반드시-협약-ga수에-따라-다르게-분석되어야-한다."/>
    <w:p>
      <w:pPr>
        <w:pStyle w:val="Heading3"/>
      </w:pPr>
      <w:r>
        <w:t xml:space="preserve">3. GA 손해율은 반드시 협약 GA수에 따라 다르게 분석되어야 한다.</w:t>
      </w:r>
    </w:p>
    <w:p>
      <w:pPr>
        <w:pStyle w:val="FirstParagraph"/>
      </w:pPr>
      <w:r>
        <w:t xml:space="preserve">결론적으로 협약GA(혹은 활동GA)가 1~2개에 집중되면 업계 평균과의 괴리가 크고(운에 좌우), 수십개라면 평균에 훨씬 수렴한다는 것을 기억해야 한다. 프로젝트를 진행할 때</w:t>
      </w:r>
      <w:r>
        <w:t xml:space="preserve"> </w:t>
      </w:r>
      <w:r>
        <w:t xml:space="preserve">“</w:t>
      </w:r>
      <w:r>
        <w:t xml:space="preserve">GA손해율이 나쁘다</w:t>
      </w:r>
      <w:r>
        <w:t xml:space="preserve">”</w:t>
      </w:r>
      <w:r>
        <w:t xml:space="preserve">는 이야기를 많이 듣는다. 다양한 보험사의 프로젝트를 통해 틀린 말이 아니란 것은 경험적으로, 종합적으로 알고 있지만, GA손해율이 나쁘다고 결론짓기 위해서는 GA수와 샘플수와 연령, 담보 Mix등이 엄청난 영향을 미친다.</w:t>
      </w:r>
    </w:p>
    <w:bookmarkStart w:id="37" w:name="협약-ga개수가-늘어남에-따라-손해율-분산은-줄어든다."/>
    <w:p>
      <w:pPr>
        <w:pStyle w:val="Heading4"/>
      </w:pPr>
      <w:r>
        <w:t xml:space="preserve">3.1) 협약 GA개수가 늘어남에 따라 손해율 분산은 줄어든다.</w:t>
      </w:r>
    </w:p>
    <w:p>
      <w:pPr>
        <w:pStyle w:val="FirstParagraph"/>
      </w:pPr>
      <w:r>
        <w:t xml:space="preserve">논의를 간단히 하기 위해 업계 GA 손해율을</w:t>
      </w:r>
      <w:r>
        <w:t xml:space="preserve"> </w:t>
      </w:r>
      <w:r>
        <w:rPr>
          <w:rStyle w:val="VerbatimChar"/>
        </w:rPr>
        <w:t xml:space="preserve">θ_g</w:t>
      </w:r>
      <w:r>
        <w:t xml:space="preserve"> </w:t>
      </w:r>
      <w:r>
        <w:t xml:space="preserve">라고 하고, 이들이 평균</w:t>
      </w:r>
      <w:r>
        <w:t xml:space="preserve"> </w:t>
      </w:r>
      <w:r>
        <w:rPr>
          <w:rStyle w:val="VerbatimChar"/>
        </w:rPr>
        <w:t xml:space="preserve">μ</w:t>
      </w:r>
      <w:r>
        <w:t xml:space="preserve">와 분산</w:t>
      </w:r>
      <w:r>
        <w:t xml:space="preserve"> </w:t>
      </w:r>
      <w:r>
        <w:rPr>
          <w:rStyle w:val="VerbatimChar"/>
        </w:rPr>
        <w:t xml:space="preserve">τ²</w:t>
      </w:r>
      <w:r>
        <w:t xml:space="preserve">를 갖는다고 가정하자. 회사가 협약한</w:t>
      </w:r>
      <w:r>
        <w:t xml:space="preserve"> </w:t>
      </w:r>
      <w:r>
        <w:rPr>
          <w:rStyle w:val="VerbatimChar"/>
        </w:rPr>
        <w:t xml:space="preserve">m</w:t>
      </w:r>
      <w:r>
        <w:t xml:space="preserve">개의 GA 손해율 평균(익스포저 가중 평균)</w:t>
      </w:r>
      <w:r>
        <w:t xml:space="preserve"> </w:t>
      </w:r>
      <w:r>
        <w:rPr>
          <w:rStyle w:val="VerbatimChar"/>
        </w:rPr>
        <w:t xml:space="preserve">θ̄_m</w:t>
      </w:r>
      <w:r>
        <w:t xml:space="preserve">을 보면,</w:t>
      </w:r>
    </w:p>
    <w:p>
      <w:pPr>
        <w:pStyle w:val="BodyText"/>
      </w:pPr>
      <m:oMath>
        <m:sSub>
          <m:e>
            <m:acc>
              <m:accPr>
                <m:chr m:val="‾"/>
              </m:accPr>
              <m:e>
                <m:r>
                  <m:t>θ</m:t>
                </m:r>
              </m:e>
            </m:acc>
          </m:e>
          <m:sub>
            <m:r>
              <m:t>m</m:t>
            </m:r>
          </m:sub>
        </m:sSub>
        <m:r>
          <m:rPr>
            <m:sty m:val="p"/>
          </m:rPr>
          <m:t>∼</m:t>
        </m:r>
        <m:r>
          <m:t>N</m:t>
        </m:r>
        <m:d>
          <m:dPr>
            <m:begChr m:val="("/>
            <m:endChr m:val=")"/>
            <m:sepChr m:val=""/>
            <m:grow/>
          </m:dPr>
          <m:e>
            <m:r>
              <m:t>μ</m:t>
            </m:r>
            <m:r>
              <m:rPr>
                <m:sty m:val="p"/>
              </m:rPr>
              <m:t>+</m:t>
            </m:r>
            <m:r>
              <m:rPr>
                <m:nor/>
                <m:sty m:val="p"/>
              </m:rPr>
              <m:t>bias</m:t>
            </m:r>
            <m:r>
              <m:rPr>
                <m:sty m:val="p"/>
              </m:rPr>
              <m:t>,</m:t>
            </m:r>
            <m:r>
              <m:t> </m:t>
            </m:r>
            <m:sSup>
              <m:e>
                <m:r>
                  <m:t>τ</m:t>
                </m:r>
              </m:e>
              <m:sup>
                <m:r>
                  <m:t>2</m:t>
                </m:r>
              </m:sup>
            </m:sSup>
            <m:r>
              <m:rPr>
                <m:sty m:val="p"/>
              </m:rPr>
              <m:t>/</m:t>
            </m:r>
            <m:r>
              <m:t>m</m:t>
            </m:r>
            <m:r>
              <m:rPr>
                <m:sty m:val="p"/>
              </m:rPr>
              <m:t>+</m:t>
            </m:r>
            <m:sSup>
              <m:e>
                <m:acc>
                  <m:accPr>
                    <m:chr m:val="‾"/>
                  </m:accPr>
                  <m:e>
                    <m:r>
                      <m:t>σ</m:t>
                    </m:r>
                  </m:e>
                </m:acc>
              </m:e>
              <m:sup>
                <m:r>
                  <m:t>2</m:t>
                </m:r>
              </m:sup>
            </m:sSup>
          </m:e>
        </m:d>
      </m:oMath>
    </w:p>
    <w:p>
      <w:pPr>
        <w:pStyle w:val="Compact"/>
        <w:numPr>
          <w:ilvl w:val="0"/>
          <w:numId w:val="1002"/>
        </w:numPr>
      </w:pPr>
      <w:r>
        <w:rPr>
          <w:rStyle w:val="VerbatimChar"/>
        </w:rPr>
        <w:t xml:space="preserve">bias</w:t>
      </w:r>
      <w:r>
        <w:t xml:space="preserve">: 선택 바이어스(selection bias): 업계 평균과 다른 성격의 GA를 골라 계약했다면, 개수를 늘려도 바이어스는 남음</w:t>
      </w:r>
    </w:p>
    <w:p>
      <w:pPr>
        <w:pStyle w:val="Compact"/>
        <w:numPr>
          <w:ilvl w:val="0"/>
          <w:numId w:val="1002"/>
        </w:numPr>
      </w:pPr>
      <w:r>
        <w:rPr>
          <w:rStyle w:val="VerbatimChar"/>
        </w:rPr>
        <w:t xml:space="preserve">τ²/m</w:t>
      </w:r>
      <w:r>
        <w:t xml:space="preserve">: GA 개수(m)가 늘수록 업계 평균으로 가까워짐.</w:t>
      </w:r>
    </w:p>
    <w:p>
      <w:pPr>
        <w:pStyle w:val="Compact"/>
        <w:numPr>
          <w:ilvl w:val="0"/>
          <w:numId w:val="1002"/>
        </w:numPr>
      </w:pPr>
      <w:r>
        <w:rPr>
          <w:rStyle w:val="VerbatimChar"/>
        </w:rPr>
        <w:t xml:space="preserve">σ̄²</w:t>
      </w:r>
      <w:r>
        <w:t xml:space="preserve">: 각 GA의 익스포저(판매건수)가 커질수록 작아짐.</w:t>
      </w:r>
    </w:p>
    <w:p>
      <w:pPr>
        <w:pStyle w:val="FirstParagraph"/>
      </w:pPr>
      <w:r>
        <w:t xml:space="preserve">업계 GA 간 표준편차를</w:t>
      </w:r>
      <w:r>
        <w:t xml:space="preserve"> </w:t>
      </w:r>
      <w:r>
        <w:rPr>
          <w:rStyle w:val="VerbatimChar"/>
        </w:rPr>
        <w:t xml:space="preserve">τ</w:t>
      </w:r>
      <w:r>
        <w:t xml:space="preserve">라고 하자 (예: A/E 기준으로 0.15 = 15%). 측정오차가 크지 않다고 가정하면,</w:t>
      </w:r>
    </w:p>
    <w:p>
      <w:pPr>
        <w:pStyle w:val="Compact"/>
        <w:numPr>
          <w:ilvl w:val="0"/>
          <w:numId w:val="1003"/>
        </w:numPr>
      </w:pPr>
      <w:r>
        <w:rPr>
          <w:rStyle w:val="VerbatimChar"/>
        </w:rPr>
        <w:t xml:space="preserve">m =  1</w:t>
      </w:r>
      <w:r>
        <w:t xml:space="preserve">: 업계 평균과 기대적 편차 ≈</w:t>
      </w:r>
      <w:r>
        <w:t xml:space="preserve"> </w:t>
      </w:r>
      <w:r>
        <w:rPr>
          <w:rStyle w:val="VerbatimChar"/>
        </w:rPr>
        <w:t xml:space="preserve">τ</w:t>
      </w:r>
      <w:r>
        <w:t xml:space="preserve"> </w:t>
      </w:r>
      <w:r>
        <w:t xml:space="preserve">→ 약 15%(가정)</w:t>
      </w:r>
    </w:p>
    <w:p>
      <w:pPr>
        <w:pStyle w:val="Compact"/>
        <w:numPr>
          <w:ilvl w:val="0"/>
          <w:numId w:val="1003"/>
        </w:numPr>
      </w:pPr>
      <w:r>
        <w:rPr>
          <w:rStyle w:val="VerbatimChar"/>
        </w:rPr>
        <w:t xml:space="preserve">m = 30</w:t>
      </w:r>
      <w:r>
        <w:t xml:space="preserve">: 기대적 편차 ≈</w:t>
      </w:r>
      <w:r>
        <w:t xml:space="preserve"> </w:t>
      </w:r>
      <w:r>
        <w:rPr>
          <w:rStyle w:val="VerbatimChar"/>
        </w:rPr>
        <w:t xml:space="preserve">τ/√30 ≈ 0.15/5.48 ≈ 2.7%</w:t>
      </w:r>
    </w:p>
    <w:p>
      <w:pPr>
        <w:pStyle w:val="FirstParagraph"/>
      </w:pPr>
      <w:r>
        <w:t xml:space="preserve">목표 오차</w:t>
      </w:r>
      <w:r>
        <w:t xml:space="preserve"> </w:t>
      </w:r>
      <w:r>
        <w:rPr>
          <w:rStyle w:val="VerbatimChar"/>
        </w:rPr>
        <w:t xml:space="preserve">d</w:t>
      </w:r>
      <w:r>
        <w:t xml:space="preserve">를 원하면 대략</w:t>
      </w:r>
      <w:r>
        <w:t xml:space="preserve"> </w:t>
      </w:r>
      <w:r>
        <w:rPr>
          <w:rStyle w:val="VerbatimChar"/>
        </w:rPr>
        <w:t xml:space="preserve">m ≈ (τ/d)²</w:t>
      </w:r>
    </w:p>
    <w:p>
      <w:pPr>
        <w:pStyle w:val="BodyText"/>
      </w:pPr>
      <w:r>
        <w:t xml:space="preserve">예)</w:t>
      </w:r>
      <w:r>
        <w:t xml:space="preserve"> </w:t>
      </w:r>
      <w:r>
        <w:rPr>
          <w:rStyle w:val="VerbatimChar"/>
        </w:rPr>
        <w:t xml:space="preserve">τ = 15%</w:t>
      </w:r>
      <w:r>
        <w:t xml:space="preserve">,</w:t>
      </w:r>
      <w:r>
        <w:t xml:space="preserve"> </w:t>
      </w:r>
      <w:r>
        <w:rPr>
          <w:rStyle w:val="VerbatimChar"/>
        </w:rPr>
        <w:t xml:space="preserve">d = 5%</w:t>
      </w:r>
      <w:r>
        <w:t xml:space="preserve">면</w:t>
      </w:r>
      <w:r>
        <w:t xml:space="preserve"> </w:t>
      </w:r>
      <w:r>
        <w:rPr>
          <w:rStyle w:val="VerbatimChar"/>
        </w:rPr>
        <w:t xml:space="preserve">m ≈ 9</w:t>
      </w:r>
      <w:r>
        <w:t xml:space="preserve">개 필요 (측정오차 무시 시).</w:t>
      </w:r>
    </w:p>
    <w:p>
      <w:pPr>
        <w:pStyle w:val="BodyText"/>
      </w:pPr>
      <w:r>
        <w:t xml:space="preserve">결론적으로, 활동 GA개수가 늘어날수록 분산은 줄어든다.</w:t>
      </w:r>
    </w:p>
    <w:p>
      <w:pPr>
        <w:pStyle w:val="BodyText"/>
      </w:pPr>
      <w:r>
        <w:drawing>
          <wp:inline>
            <wp:extent cx="5334000" cy="2849058"/>
            <wp:effectExtent b="0" l="0" r="0" t="0"/>
            <wp:docPr descr="" title="" id="32" name="Picture"/>
            <a:graphic>
              <a:graphicData uri="http://schemas.openxmlformats.org/drawingml/2006/picture">
                <pic:pic>
                  <pic:nvPicPr>
                    <pic:cNvPr descr="images/sample-size/convergence-curve.png" id="33" name="Picture"/>
                    <pic:cNvPicPr>
                      <a:picLocks noChangeArrowheads="1" noChangeAspect="1"/>
                    </pic:cNvPicPr>
                  </pic:nvPicPr>
                  <pic:blipFill>
                    <a:blip r:embed="rId31"/>
                    <a:stretch>
                      <a:fillRect/>
                    </a:stretch>
                  </pic:blipFill>
                  <pic:spPr bwMode="auto">
                    <a:xfrm>
                      <a:off x="0" y="0"/>
                      <a:ext cx="5334000" cy="2849058"/>
                    </a:xfrm>
                    <a:prstGeom prst="rect">
                      <a:avLst/>
                    </a:prstGeom>
                    <a:noFill/>
                    <a:ln w="9525">
                      <a:noFill/>
                      <a:headEnd/>
                      <a:tailEnd/>
                    </a:ln>
                  </pic:spPr>
                </pic:pic>
              </a:graphicData>
            </a:graphic>
          </wp:inline>
        </w:drawing>
      </w:r>
    </w:p>
    <w:p>
      <w:pPr>
        <w:pStyle w:val="BodyText"/>
      </w:pPr>
      <w:r>
        <w:t xml:space="preserve">또한, 다음과 같이 위험 손해율 측정오차가 점점 줄어든다.</w:t>
      </w:r>
    </w:p>
    <w:p>
      <w:pPr>
        <w:pStyle w:val="BodyText"/>
      </w:pPr>
      <w:r>
        <w:drawing>
          <wp:inline>
            <wp:extent cx="5334000" cy="2849058"/>
            <wp:effectExtent b="0" l="0" r="0" t="0"/>
            <wp:docPr descr="" title="" id="35" name="Picture"/>
            <a:graphic>
              <a:graphicData uri="http://schemas.openxmlformats.org/drawingml/2006/picture">
                <pic:pic>
                  <pic:nvPicPr>
                    <pic:cNvPr descr="images/sample-size/convergence-bands.png" id="36" name="Picture"/>
                    <pic:cNvPicPr>
                      <a:picLocks noChangeArrowheads="1" noChangeAspect="1"/>
                    </pic:cNvPicPr>
                  </pic:nvPicPr>
                  <pic:blipFill>
                    <a:blip r:embed="rId34"/>
                    <a:stretch>
                      <a:fillRect/>
                    </a:stretch>
                  </pic:blipFill>
                  <pic:spPr bwMode="auto">
                    <a:xfrm>
                      <a:off x="0" y="0"/>
                      <a:ext cx="5334000" cy="2849058"/>
                    </a:xfrm>
                    <a:prstGeom prst="rect">
                      <a:avLst/>
                    </a:prstGeom>
                    <a:noFill/>
                    <a:ln w="9525">
                      <a:noFill/>
                      <a:headEnd/>
                      <a:tailEnd/>
                    </a:ln>
                  </pic:spPr>
                </pic:pic>
              </a:graphicData>
            </a:graphic>
          </wp:inline>
        </w:drawing>
      </w:r>
    </w:p>
    <w:bookmarkEnd w:id="37"/>
    <w:bookmarkStart w:id="38" w:name="자사-데이터의-대표성에-따라-체계적-차이가-지속된다."/>
    <w:p>
      <w:pPr>
        <w:pStyle w:val="Heading4"/>
      </w:pPr>
      <w:r>
        <w:t xml:space="preserve">3.2) 자사 데이터의 대표성에 따라 체계적 차이가 지속된다.</w:t>
      </w:r>
    </w:p>
    <w:p>
      <w:pPr>
        <w:pStyle w:val="FirstParagraph"/>
      </w:pPr>
      <w:r>
        <w:t xml:space="preserve">무작위 표본이 아니면 (특정 연령·상품·지역·설계사 프로필이 치우친 GA 위주)</w:t>
      </w:r>
      <w:r>
        <w:t xml:space="preserve"> </w:t>
      </w:r>
      <w:r>
        <w:rPr>
          <w:rStyle w:val="VerbatimChar"/>
        </w:rPr>
        <w:t xml:space="preserve">selection bias ≠ 0</w:t>
      </w:r>
      <w:r>
        <w:t xml:space="preserve">이므로,</w:t>
      </w:r>
      <w:r>
        <w:t xml:space="preserve"> </w:t>
      </w:r>
      <w:r>
        <w:rPr>
          <w:rStyle w:val="VerbatimChar"/>
        </w:rPr>
        <w:t xml:space="preserve">m</w:t>
      </w:r>
      <w:r>
        <w:t xml:space="preserve">을 늘려도 업계 평균과의 체계적 차이가 지속될 수 있다. 실제로 분석해보면 GA채널의 손해율이 FC채널보다 나쁜데 Mix상 특정 구간에서만 나쁜 구간이 있고 다른 구간에서는 차이가 없는 경우도 많다.</w:t>
      </w:r>
    </w:p>
    <w:p>
      <w:pPr>
        <w:pStyle w:val="BodyText"/>
      </w:pPr>
      <w:r>
        <w:t xml:space="preserve">그래서 다음을 반드시 병행해야 한다.</w:t>
      </w:r>
    </w:p>
    <w:p>
      <w:pPr>
        <w:pStyle w:val="Compact"/>
        <w:numPr>
          <w:ilvl w:val="0"/>
          <w:numId w:val="1004"/>
        </w:numPr>
      </w:pPr>
      <w:r>
        <w:rPr>
          <w:b/>
          <w:bCs/>
        </w:rPr>
        <w:t xml:space="preserve">믹스 비교(Mix similarity)</w:t>
      </w:r>
      <w:r>
        <w:t xml:space="preserve">:</w:t>
      </w:r>
      <w:r>
        <w:br/>
      </w:r>
      <w:r>
        <w:t xml:space="preserve">우리 회사 GA 믹스 vs 업계 Mix 대표성 점검</w:t>
      </w:r>
    </w:p>
    <w:p>
      <w:pPr>
        <w:pStyle w:val="Compact"/>
        <w:numPr>
          <w:ilvl w:val="0"/>
          <w:numId w:val="1004"/>
        </w:numPr>
      </w:pPr>
      <w:r>
        <w:rPr>
          <w:b/>
          <w:bCs/>
        </w:rPr>
        <w:t xml:space="preserve">층화 표준화(Standardization)</w:t>
      </w:r>
      <w:r>
        <w:t xml:space="preserve">:</w:t>
      </w:r>
      <w:r>
        <w:br/>
      </w:r>
      <w:r>
        <w:t xml:space="preserve">업계 분포(연령×성별×가입금액×상품 등)로 가중 표준화 A/E 비교</w:t>
      </w:r>
    </w:p>
    <w:p>
      <w:pPr>
        <w:pStyle w:val="FirstParagraph"/>
      </w:pPr>
      <w:r>
        <w:t xml:space="preserve">결론적으로 자사 GA손해율에 대해서 분석할 때는 반드시 다음을 고려하자.</w:t>
      </w:r>
    </w:p>
    <w:p>
      <w:pPr>
        <w:pStyle w:val="Compact"/>
        <w:numPr>
          <w:ilvl w:val="0"/>
          <w:numId w:val="1005"/>
        </w:numPr>
      </w:pPr>
      <w:r>
        <w:rPr>
          <w:b/>
          <w:bCs/>
        </w:rPr>
        <w:t xml:space="preserve">활동 GA 소수</w:t>
      </w:r>
      <w:r>
        <w:t xml:space="preserve">: 변동성 큼, 업계와의 괴리 크다 → 표준화 + 신뢰구간 반드시 제시, 무조건 나쁘다는 판단 보류/시범계약 권장.</w:t>
      </w:r>
    </w:p>
    <w:p>
      <w:pPr>
        <w:pStyle w:val="Compact"/>
        <w:numPr>
          <w:ilvl w:val="0"/>
          <w:numId w:val="1005"/>
        </w:numPr>
      </w:pPr>
      <w:r>
        <w:rPr>
          <w:b/>
          <w:bCs/>
        </w:rPr>
        <w:t xml:space="preserve">활동 GA 다수</w:t>
      </w:r>
      <w:r>
        <w:t xml:space="preserve">: 평균값이 업계에 상당히 근접. 검증 후 그대로 활용.</w:t>
      </w:r>
    </w:p>
    <w:bookmarkEnd w:id="38"/>
    <w:bookmarkEnd w:id="39"/>
    <w:bookmarkStart w:id="40" w:name="결론"/>
    <w:p>
      <w:pPr>
        <w:pStyle w:val="Heading3"/>
      </w:pPr>
      <w:r>
        <w:t xml:space="preserve">4. 결론</w:t>
      </w:r>
    </w:p>
    <w:p>
      <w:pPr>
        <w:pStyle w:val="FirstParagraph"/>
      </w:pPr>
      <w:r>
        <w:t xml:space="preserve">이처럼 숫자를 다루는 재무, 계리 뿐만아니라 상품, 언더라이팅, 마케팅 또한 동등한 차원의 혹은 더 세분화된 차원의 분석이 필요하다. AI의 시대, 많은 사람들이 데우스 엑스 마키나 같은 모델이 있고 우리의 데이터를 보기도 전에 모든 문제를 해결해줄 거라고 이야기하고 있다. 이 말에 의지하기 전에 우리는 우리의 데이터가 어떤 세계를 표방하고 어떤 한계를 지니고 있는지 생각해 둘 필요가 있다. 그것이 현업이 앞으로 가치판단을 위해 가지고 있어야 할 지혜이다.</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Normal"/>
    <w:next w:val="BodyText"/>
    <w:link w:val="SubtitleChar"/>
    <w:uiPriority w:val="11"/>
    <w:qFormat/>
    <w:rsid w:val="00A10FD9"/>
    <w:pPr>
      <w:numPr>
        <w:ilvl w:val="1"/>
      </w:numPr>
    </w:pPr>
    <w:rPr>
      <w:rFonts w:cstheme="majorBidi" w:eastAsiaTheme="majorEastAsia"/>
      <w:color w:themeColor="text1" w:themeTint="A6" w:val="59595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21" Target="media/rId21.png" /><Relationship Type="http://schemas.openxmlformats.org/officeDocument/2006/relationships/image" Id="rId24" Target="media/rId2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통계 세분화와 신뢰도</dc:title>
  <dc:creator>Seokhoon Joo</dc:creator>
  <cp:keywords/>
  <dcterms:created xsi:type="dcterms:W3CDTF">2026-09-29T05:38:59Z</dcterms:created>
  <dcterms:modified xsi:type="dcterms:W3CDTF">2026-09-29T05:38:59Z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editor">
    <vt:lpwstr>visual</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toc-title">
    <vt:lpwstr>Table of contents</vt:lpwstr>
  </property>
</Properties>
</file>